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940" w:lineRule="exact"/>
        <w:jc w:val="distribute"/>
        <w:rPr>
          <w:rFonts w:hint="eastAsia" w:ascii="方正大标宋简体" w:eastAsia="方正大标宋简体"/>
          <w:color w:val="FF0000"/>
          <w:w w:val="55"/>
          <w:sz w:val="148"/>
          <w:szCs w:val="148"/>
        </w:rPr>
      </w:pPr>
      <w:bookmarkStart w:id="0" w:name="_GoBack"/>
      <w:bookmarkEnd w:id="0"/>
      <w:r>
        <w:rPr>
          <w:rFonts w:hint="eastAsia" w:ascii="方正大标宋简体" w:eastAsia="方正大标宋简体"/>
          <w:color w:val="FF0000"/>
          <w:w w:val="55"/>
          <w:sz w:val="148"/>
          <w:szCs w:val="148"/>
        </w:rPr>
        <w:t>滕州市人民政府办公室</w:t>
      </w:r>
    </w:p>
    <w:p>
      <w:pPr>
        <w:pStyle w:val="2"/>
      </w:pPr>
    </w:p>
    <w:p>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right="0"/>
        <w:jc w:val="center"/>
        <w:textAlignment w:val="auto"/>
        <w:rPr>
          <w:rFonts w:ascii="Times New Roman" w:hAnsi="Times New Roman" w:cs="Times New Roman"/>
        </w:rPr>
      </w:pPr>
      <w:r>
        <w:rPr>
          <w:rFonts w:hint="eastAsia" w:ascii="仿宋_GB2312" w:hAnsi="仿宋_GB2312" w:eastAsia="仿宋_GB2312" w:cs="仿宋_GB2312"/>
          <w:color w:val="000000"/>
          <w:kern w:val="0"/>
          <w:sz w:val="32"/>
          <w:szCs w:val="32"/>
          <w:lang w:val="en-US" w:eastAsia="zh-CN" w:bidi="ar"/>
        </w:rPr>
        <w:t>滕政办发〔2025〕6号</w:t>
      </w:r>
    </w:p>
    <w:p>
      <w:pPr>
        <w:pStyle w:val="8"/>
        <w:keepNext w:val="0"/>
        <w:keepLines w:val="0"/>
        <w:pageBreakBefore w:val="0"/>
        <w:widowControl/>
        <w:kinsoku w:val="0"/>
        <w:wordWrap/>
        <w:overflowPunct/>
        <w:topLinePunct w:val="0"/>
        <w:autoSpaceDE w:val="0"/>
        <w:autoSpaceDN w:val="0"/>
        <w:bidi w:val="0"/>
        <w:adjustRightInd w:val="0"/>
        <w:snapToGrid w:val="0"/>
        <w:spacing w:line="900" w:lineRule="exact"/>
        <w:ind w:right="0"/>
        <w:textAlignment w:val="baseline"/>
        <w:rPr>
          <w:rFonts w:ascii="Times New Roman" w:hAnsi="Times New Roman" w:cs="Times New Roman"/>
        </w:rPr>
      </w:pPr>
      <w:r>
        <w:rPr>
          <w:rFonts w:hint="eastAsia" w:ascii="方正大标宋简体" w:eastAsia="方正大标宋简体"/>
          <w:sz w:val="140"/>
          <w:szCs w:val="140"/>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134620</wp:posOffset>
                </wp:positionV>
                <wp:extent cx="5687695" cy="0"/>
                <wp:effectExtent l="0" t="10795" r="8255" b="1778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1.65pt;margin-top:10.6pt;height:0pt;width:447.85pt;z-index:251660288;mso-width-relative:page;mso-height-relative:page;" filled="f" stroked="t" coordsize="21600,21600" o:gfxdata="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D+QuY2AAAAAkBAAAPAAAAAAAAAAEAIAAAADgAAABkcnMvZG93bnJldi54bWxQSwEC&#10;FAAUAAAACACHTuJAZof41N4BAACaAwAADgAAAAAAAAABACAAAAA9AQAAZHJzL2Uyb0RvYy54bWxQ&#10;SwUGAAAAAAYABgBZAQAAjQUAAAAA&#10;">
                <v:fill on="f" focussize="0,0"/>
                <v:stroke weight="1.75pt" color="#FF0000" joinstyle="round"/>
                <v:imagedata o:title=""/>
                <o:lock v:ext="edit" aspectratio="f"/>
              </v:line>
            </w:pict>
          </mc:Fallback>
        </mc:AlternateContent>
      </w:r>
    </w:p>
    <w:p>
      <w:pPr>
        <w:keepNext w:val="0"/>
        <w:keepLines w:val="0"/>
        <w:pageBreakBefore w:val="0"/>
        <w:widowControl/>
        <w:wordWrap/>
        <w:topLinePunct w:val="0"/>
        <w:bidi w:val="0"/>
        <w:spacing w:line="600" w:lineRule="exact"/>
        <w:ind w:right="0"/>
        <w:jc w:val="center"/>
        <w:rPr>
          <w:rFonts w:hint="eastAsia" w:ascii="方正小标宋简体" w:hAnsi="华文中宋" w:eastAsia="方正小标宋简体" w:cs="宋体"/>
          <w:bCs/>
          <w:kern w:val="0"/>
          <w:sz w:val="44"/>
          <w:szCs w:val="44"/>
          <w:lang w:eastAsia="zh-CN"/>
        </w:rPr>
      </w:pPr>
      <w:r>
        <w:rPr>
          <w:rFonts w:hint="eastAsia" w:ascii="方正小标宋简体" w:hAnsi="华文中宋" w:eastAsia="方正小标宋简体" w:cs="宋体"/>
          <w:bCs/>
          <w:kern w:val="0"/>
          <w:sz w:val="44"/>
          <w:szCs w:val="44"/>
          <w:lang w:eastAsia="zh-CN"/>
        </w:rPr>
        <w:t>滕州市人民政府办公室</w:t>
      </w:r>
    </w:p>
    <w:p>
      <w:pPr>
        <w:keepNext w:val="0"/>
        <w:keepLines w:val="0"/>
        <w:pageBreakBefore w:val="0"/>
        <w:widowControl/>
        <w:wordWrap/>
        <w:topLinePunct w:val="0"/>
        <w:bidi w:val="0"/>
        <w:spacing w:line="600" w:lineRule="exact"/>
        <w:ind w:right="0"/>
        <w:jc w:val="center"/>
        <w:rPr>
          <w:rFonts w:hint="eastAsia" w:ascii="方正小标宋简体" w:hAnsi="华文中宋" w:eastAsia="方正小标宋简体" w:cs="宋体"/>
          <w:bCs/>
          <w:kern w:val="0"/>
          <w:sz w:val="44"/>
          <w:szCs w:val="44"/>
          <w:lang w:eastAsia="zh-CN"/>
        </w:rPr>
      </w:pPr>
      <w:r>
        <w:rPr>
          <w:rFonts w:hint="eastAsia" w:ascii="方正小标宋简体" w:hAnsi="华文中宋" w:eastAsia="方正小标宋简体" w:cs="宋体"/>
          <w:bCs/>
          <w:kern w:val="0"/>
          <w:sz w:val="44"/>
          <w:szCs w:val="44"/>
          <w:lang w:eastAsia="zh-CN"/>
        </w:rPr>
        <w:t>关于印发《滕州市农村供水县域统管工作</w:t>
      </w:r>
    </w:p>
    <w:p>
      <w:pPr>
        <w:keepNext w:val="0"/>
        <w:keepLines w:val="0"/>
        <w:pageBreakBefore w:val="0"/>
        <w:widowControl/>
        <w:wordWrap/>
        <w:topLinePunct w:val="0"/>
        <w:bidi w:val="0"/>
        <w:spacing w:line="600" w:lineRule="exact"/>
        <w:ind w:right="0"/>
        <w:jc w:val="center"/>
        <w:rPr>
          <w:rFonts w:hint="eastAsia" w:ascii="方正小标宋简体" w:hAnsi="华文中宋" w:eastAsia="方正小标宋简体" w:cs="宋体"/>
          <w:bCs/>
          <w:kern w:val="0"/>
          <w:sz w:val="44"/>
          <w:szCs w:val="44"/>
          <w:lang w:eastAsia="zh-CN"/>
        </w:rPr>
      </w:pPr>
      <w:r>
        <w:rPr>
          <w:rFonts w:hint="eastAsia" w:ascii="方正小标宋简体" w:hAnsi="华文中宋" w:eastAsia="方正小标宋简体" w:cs="宋体"/>
          <w:bCs/>
          <w:kern w:val="0"/>
          <w:sz w:val="44"/>
          <w:szCs w:val="44"/>
          <w:lang w:eastAsia="zh-CN"/>
        </w:rPr>
        <w:t>实施方案》的通知</w:t>
      </w:r>
    </w:p>
    <w:p>
      <w:pPr>
        <w:pStyle w:val="8"/>
        <w:keepNext w:val="0"/>
        <w:keepLines w:val="0"/>
        <w:pageBreakBefore w:val="0"/>
        <w:wordWrap/>
        <w:topLinePunct w:val="0"/>
        <w:bidi w:val="0"/>
        <w:spacing w:line="600" w:lineRule="exact"/>
        <w:ind w:right="0"/>
        <w:rPr>
          <w:rFonts w:ascii="Times New Roman" w:hAnsi="Times New Roman" w:eastAsia="华文中宋" w:cs="Times New Roman"/>
          <w:sz w:val="44"/>
          <w:szCs w:val="44"/>
          <w:lang w:eastAsia="zh-CN"/>
        </w:rPr>
      </w:pPr>
    </w:p>
    <w:p>
      <w:pPr>
        <w:keepNext w:val="0"/>
        <w:keepLines w:val="0"/>
        <w:pageBreakBefore w:val="0"/>
        <w:wordWrap/>
        <w:topLinePunct w:val="0"/>
        <w:bidi w:val="0"/>
        <w:spacing w:line="600" w:lineRule="exact"/>
        <w:ind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各镇人民政府、街道办事处，滕州经济</w:t>
      </w:r>
      <w:r>
        <w:rPr>
          <w:rFonts w:hint="eastAsia" w:ascii="仿宋_GB2312" w:hAnsi="仿宋_GB2312" w:eastAsia="仿宋_GB2312" w:cs="仿宋_GB2312"/>
          <w:sz w:val="32"/>
          <w:szCs w:val="32"/>
          <w:lang w:val="en-US" w:eastAsia="zh-CN"/>
        </w:rPr>
        <w:t>技术</w:t>
      </w:r>
      <w:r>
        <w:rPr>
          <w:rFonts w:hint="eastAsia" w:ascii="仿宋_GB2312" w:hAnsi="仿宋_GB2312" w:eastAsia="仿宋_GB2312" w:cs="仿宋_GB2312"/>
          <w:sz w:val="32"/>
          <w:szCs w:val="32"/>
        </w:rPr>
        <w:t>开发区管委会，市政府各部门，市直各企事业单位：</w:t>
      </w:r>
    </w:p>
    <w:p>
      <w:pPr>
        <w:keepNext w:val="0"/>
        <w:keepLines w:val="0"/>
        <w:pageBreakBefore w:val="0"/>
        <w:wordWrap/>
        <w:topLinePunct w:val="0"/>
        <w:bidi w:val="0"/>
        <w:spacing w:line="600" w:lineRule="exact"/>
        <w:ind w:righ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《滕州市农村供水县域统管工作实施方案》已经市政府同意，现印发给你们</w:t>
      </w:r>
      <w:r>
        <w:rPr>
          <w:rFonts w:hint="eastAsia" w:ascii="仿宋_GB2312" w:hAnsi="宋体" w:eastAsia="仿宋_GB2312" w:cs="仿宋_GB2312"/>
          <w:color w:val="000000"/>
          <w:kern w:val="0"/>
          <w:sz w:val="32"/>
          <w:szCs w:val="32"/>
          <w:lang w:val="en-US" w:eastAsia="zh-CN" w:bidi="ar"/>
        </w:rPr>
        <w:t>，请认真贯彻执行。</w:t>
      </w:r>
    </w:p>
    <w:p>
      <w:pPr>
        <w:pStyle w:val="8"/>
        <w:keepNext w:val="0"/>
        <w:keepLines w:val="0"/>
        <w:pageBreakBefore w:val="0"/>
        <w:wordWrap/>
        <w:topLinePunct w:val="0"/>
        <w:bidi w:val="0"/>
        <w:spacing w:line="600" w:lineRule="exact"/>
        <w:ind w:right="0"/>
        <w:rPr>
          <w:rFonts w:ascii="Times New Roman" w:hAnsi="Times New Roman" w:eastAsia="仿宋_GB2312" w:cs="Times New Roman"/>
          <w:sz w:val="32"/>
          <w:szCs w:val="32"/>
          <w:lang w:eastAsia="zh-CN"/>
        </w:rPr>
      </w:pPr>
    </w:p>
    <w:p>
      <w:pPr>
        <w:pStyle w:val="8"/>
        <w:keepNext w:val="0"/>
        <w:keepLines w:val="0"/>
        <w:pageBreakBefore w:val="0"/>
        <w:kinsoku/>
        <w:topLinePunct w:val="0"/>
        <w:bidi w:val="0"/>
        <w:spacing w:line="6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val="0"/>
        <w:overflowPunct/>
        <w:topLinePunct w:val="0"/>
        <w:autoSpaceDE/>
        <w:autoSpaceDN/>
        <w:bidi w:val="0"/>
        <w:adjustRightInd/>
        <w:snapToGrid/>
        <w:spacing w:line="600" w:lineRule="exact"/>
        <w:jc w:val="center"/>
        <w:textAlignment w:val="auto"/>
        <w:rPr>
          <w:rFonts w:hint="default"/>
          <w:sz w:val="32"/>
          <w:szCs w:val="32"/>
          <w:lang w:val="en-US"/>
        </w:rPr>
      </w:pPr>
      <w:r>
        <w:rPr>
          <w:rFonts w:hint="eastAsia" w:ascii="仿宋_GB2312" w:hAnsi="宋体" w:eastAsia="仿宋_GB2312" w:cs="仿宋_GB2312"/>
          <w:color w:val="000000"/>
          <w:kern w:val="0"/>
          <w:sz w:val="32"/>
          <w:szCs w:val="32"/>
          <w:lang w:val="en-US" w:eastAsia="zh-CN" w:bidi="ar"/>
        </w:rPr>
        <w:t xml:space="preserve">                              滕州市人民政府办公室   </w:t>
      </w:r>
    </w:p>
    <w:p>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sz w:val="32"/>
          <w:szCs w:val="32"/>
        </w:rPr>
      </w:pPr>
      <w:r>
        <w:rPr>
          <w:rFonts w:hint="eastAsia" w:ascii="仿宋_GB2312" w:hAnsi="宋体" w:eastAsia="仿宋_GB2312" w:cs="仿宋_GB2312"/>
          <w:color w:val="000000"/>
          <w:kern w:val="0"/>
          <w:sz w:val="32"/>
          <w:szCs w:val="32"/>
          <w:lang w:val="en-US" w:eastAsia="zh-CN" w:bidi="ar"/>
        </w:rPr>
        <w:t xml:space="preserve">                           2025年6月27日</w:t>
      </w:r>
    </w:p>
    <w:p>
      <w:pPr>
        <w:keepNext w:val="0"/>
        <w:keepLines w:val="0"/>
        <w:pageBreakBefore w:val="0"/>
        <w:wordWrap/>
        <w:topLinePunct w:val="0"/>
        <w:bidi w:val="0"/>
        <w:spacing w:line="600" w:lineRule="exact"/>
        <w:ind w:right="0"/>
        <w:jc w:val="center"/>
        <w:outlineLvl w:val="1"/>
        <w:rPr>
          <w:rFonts w:hint="eastAsia" w:ascii="方正小标宋简体" w:hAnsi="方正小标宋简体" w:eastAsia="方正小标宋简体" w:cs="方正小标宋简体"/>
          <w:sz w:val="44"/>
          <w:szCs w:val="44"/>
          <w:lang w:eastAsia="zh-CN"/>
        </w:rPr>
      </w:pPr>
    </w:p>
    <w:p>
      <w:pPr>
        <w:keepNext w:val="0"/>
        <w:keepLines w:val="0"/>
        <w:pageBreakBefore w:val="0"/>
        <w:wordWrap/>
        <w:overflowPunct w:val="0"/>
        <w:topLinePunct w:val="0"/>
        <w:bidi w:val="0"/>
        <w:spacing w:line="600" w:lineRule="exact"/>
        <w:ind w:right="0"/>
        <w:jc w:val="center"/>
        <w:outlineLvl w:val="1"/>
        <w:rPr>
          <w:rFonts w:hint="eastAsia" w:ascii="方正小标宋简体" w:hAnsi="方正小标宋简体" w:eastAsia="方正小标宋简体" w:cs="方正小标宋简体"/>
          <w:sz w:val="44"/>
          <w:szCs w:val="44"/>
          <w:lang w:eastAsia="zh-CN"/>
        </w:rPr>
      </w:pPr>
    </w:p>
    <w:p>
      <w:pPr>
        <w:keepNext w:val="0"/>
        <w:keepLines w:val="0"/>
        <w:pageBreakBefore w:val="0"/>
        <w:wordWrap/>
        <w:overflowPunct w:val="0"/>
        <w:topLinePunct w:val="0"/>
        <w:bidi w:val="0"/>
        <w:spacing w:line="600" w:lineRule="exact"/>
        <w:ind w:right="0"/>
        <w:jc w:val="center"/>
        <w:outlineLvl w:val="1"/>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滕州市农村供水县域统管工作实施方案</w:t>
      </w:r>
    </w:p>
    <w:p>
      <w:pPr>
        <w:pStyle w:val="8"/>
        <w:keepNext w:val="0"/>
        <w:keepLines w:val="0"/>
        <w:pageBreakBefore w:val="0"/>
        <w:wordWrap/>
        <w:overflowPunct w:val="0"/>
        <w:topLinePunct w:val="0"/>
        <w:bidi w:val="0"/>
        <w:spacing w:line="600" w:lineRule="exact"/>
        <w:ind w:right="0"/>
        <w:rPr>
          <w:rFonts w:hint="eastAsia" w:ascii="仿宋_GB2312" w:hAnsi="仿宋_GB2312" w:eastAsia="仿宋_GB2312" w:cs="仿宋_GB2312"/>
          <w:sz w:val="32"/>
          <w:szCs w:val="32"/>
          <w:lang w:eastAsia="zh-CN"/>
        </w:rPr>
      </w:pPr>
    </w:p>
    <w:p>
      <w:pPr>
        <w:pStyle w:val="12"/>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snapToGrid w:val="0"/>
          <w:color w:val="000000"/>
          <w:sz w:val="32"/>
          <w:szCs w:val="32"/>
          <w:highlight w:val="none"/>
          <w:lang w:val="en-US" w:eastAsia="zh-CN" w:bidi="ar-SA"/>
        </w:rPr>
      </w:pPr>
      <w:r>
        <w:rPr>
          <w:rFonts w:hint="eastAsia" w:ascii="仿宋_GB2312" w:hAnsi="仿宋_GB2312" w:eastAsia="仿宋_GB2312" w:cs="仿宋_GB2312"/>
          <w:snapToGrid w:val="0"/>
          <w:color w:val="000000"/>
          <w:sz w:val="32"/>
          <w:szCs w:val="32"/>
          <w:highlight w:val="none"/>
          <w:lang w:val="en-US" w:eastAsia="zh-CN" w:bidi="ar-SA"/>
        </w:rPr>
        <w:t>为贯彻落实《山东省水利厅关于全面推进农村自来水“户户通”工作的指导意见》、《山东省水利厅关于全面推进农村供水县域统管工作的实施方案》等文件精神，进一步明确农村饮水安全工程运行管理职责，健全管理体制机制，强化农村供水工程标准化、规范化、专业化管理，推动城乡供水一体化高质量发展。结合我市实际，制定本实施意见。</w:t>
      </w:r>
    </w:p>
    <w:p>
      <w:pPr>
        <w:pStyle w:val="5"/>
        <w:keepNext w:val="0"/>
        <w:keepLines w:val="0"/>
        <w:pageBreakBefore w:val="0"/>
        <w:wordWrap/>
        <w:overflowPunct w:val="0"/>
        <w:topLinePunct w:val="0"/>
        <w:bidi w:val="0"/>
        <w:spacing w:line="600" w:lineRule="exact"/>
        <w:ind w:right="0" w:firstLine="640" w:firstLineChars="200"/>
        <w:rPr>
          <w:rFonts w:hint="eastAsia" w:ascii="楷体_GB2312" w:hAnsi="楷体_GB2312" w:eastAsia="楷体_GB2312" w:cs="楷体_GB2312"/>
          <w:snapToGrid w:val="0"/>
          <w:color w:val="000000"/>
          <w:spacing w:val="0"/>
          <w:kern w:val="0"/>
          <w:sz w:val="32"/>
          <w:szCs w:val="32"/>
          <w:lang w:val="en-US" w:eastAsia="zh-CN" w:bidi="ar-SA"/>
        </w:rPr>
      </w:pPr>
      <w:r>
        <w:rPr>
          <w:rFonts w:hint="eastAsia" w:ascii="Times New Roman" w:hAnsi="Times New Roman" w:eastAsia="黑体" w:cs="Times New Roman"/>
          <w:spacing w:val="0"/>
          <w:sz w:val="32"/>
          <w:szCs w:val="32"/>
          <w:lang w:val="en-US" w:eastAsia="zh-CN"/>
        </w:rPr>
        <w:t>一、明确统管模式</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lang w:eastAsia="zh-CN"/>
        </w:rPr>
      </w:pPr>
      <w:r>
        <w:rPr>
          <w:rFonts w:hint="eastAsia" w:ascii="仿宋_GB2312" w:hAnsi="仿宋_GB2312" w:eastAsia="仿宋_GB2312" w:cs="仿宋_GB2312"/>
          <w:sz w:val="32"/>
          <w:szCs w:val="32"/>
          <w:highlight w:val="none"/>
          <w:lang w:val="en-US" w:eastAsia="zh-CN"/>
        </w:rPr>
        <w:t>由专业化供水企业</w:t>
      </w:r>
      <w:r>
        <w:rPr>
          <w:rFonts w:hint="eastAsia" w:ascii="仿宋_GB2312" w:hAnsi="仿宋_GB2312" w:eastAsia="仿宋_GB2312" w:cs="仿宋_GB2312"/>
          <w:color w:val="auto"/>
          <w:spacing w:val="0"/>
          <w:kern w:val="2"/>
          <w:sz w:val="32"/>
          <w:szCs w:val="32"/>
          <w:highlight w:val="none"/>
          <w:lang w:val="en-US" w:eastAsia="zh-CN" w:bidi="ar-SA"/>
        </w:rPr>
        <w:t>与各镇街签订</w:t>
      </w:r>
      <w:r>
        <w:rPr>
          <w:rFonts w:hint="eastAsia" w:ascii="仿宋_GB2312" w:hAnsi="仿宋_GB2312" w:eastAsia="仿宋_GB2312" w:cs="仿宋_GB2312"/>
          <w:color w:val="auto"/>
          <w:spacing w:val="0"/>
          <w:sz w:val="32"/>
          <w:szCs w:val="32"/>
          <w:highlight w:val="none"/>
          <w:lang w:val="en-US" w:eastAsia="zh-CN"/>
        </w:rPr>
        <w:t>农村供水设施管理</w:t>
      </w:r>
      <w:r>
        <w:rPr>
          <w:rFonts w:hint="eastAsia" w:ascii="仿宋_GB2312" w:hAnsi="仿宋_GB2312" w:eastAsia="仿宋_GB2312" w:cs="仿宋_GB2312"/>
          <w:color w:val="auto"/>
          <w:spacing w:val="0"/>
          <w:kern w:val="2"/>
          <w:sz w:val="32"/>
          <w:szCs w:val="32"/>
          <w:highlight w:val="none"/>
          <w:lang w:val="en-US" w:eastAsia="zh-CN" w:bidi="ar-SA"/>
        </w:rPr>
        <w:t>协议，</w:t>
      </w:r>
      <w:r>
        <w:rPr>
          <w:rFonts w:hint="eastAsia" w:ascii="仿宋_GB2312" w:hAnsi="仿宋_GB2312" w:eastAsia="仿宋_GB2312" w:cs="仿宋_GB2312"/>
          <w:color w:val="auto"/>
          <w:spacing w:val="0"/>
          <w:sz w:val="32"/>
          <w:szCs w:val="32"/>
          <w:highlight w:val="none"/>
          <w:lang w:val="en-US" w:eastAsia="zh-CN"/>
        </w:rPr>
        <w:t>委托镇街</w:t>
      </w:r>
      <w:r>
        <w:rPr>
          <w:rFonts w:hint="eastAsia" w:ascii="仿宋_GB2312" w:hAnsi="仿宋_GB2312" w:eastAsia="仿宋_GB2312" w:cs="仿宋_GB2312"/>
          <w:color w:val="auto"/>
          <w:spacing w:val="0"/>
          <w:sz w:val="32"/>
          <w:szCs w:val="32"/>
          <w:highlight w:val="none"/>
          <w:lang w:eastAsia="zh-CN"/>
        </w:rPr>
        <w:t>对</w:t>
      </w:r>
      <w:r>
        <w:rPr>
          <w:rFonts w:hint="eastAsia" w:ascii="仿宋_GB2312" w:hAnsi="仿宋_GB2312" w:eastAsia="仿宋_GB2312" w:cs="仿宋_GB2312"/>
          <w:color w:val="auto"/>
          <w:spacing w:val="0"/>
          <w:sz w:val="32"/>
          <w:szCs w:val="32"/>
          <w:highlight w:val="none"/>
          <w:lang w:val="en-US" w:eastAsia="zh-CN"/>
        </w:rPr>
        <w:t>辖区内</w:t>
      </w:r>
      <w:r>
        <w:rPr>
          <w:rFonts w:hint="eastAsia" w:ascii="仿宋_GB2312" w:hAnsi="仿宋_GB2312" w:eastAsia="仿宋_GB2312" w:cs="仿宋_GB2312"/>
          <w:color w:val="auto"/>
          <w:spacing w:val="0"/>
          <w:sz w:val="32"/>
          <w:szCs w:val="32"/>
          <w:highlight w:val="none"/>
          <w:lang w:eastAsia="zh-CN"/>
        </w:rPr>
        <w:t>农村供水</w:t>
      </w:r>
      <w:r>
        <w:rPr>
          <w:rFonts w:hint="eastAsia" w:ascii="仿宋_GB2312" w:hAnsi="仿宋_GB2312" w:eastAsia="仿宋_GB2312" w:cs="仿宋_GB2312"/>
          <w:color w:val="auto"/>
          <w:spacing w:val="0"/>
          <w:sz w:val="32"/>
          <w:szCs w:val="32"/>
          <w:highlight w:val="none"/>
          <w:lang w:val="en-US" w:eastAsia="zh-CN"/>
        </w:rPr>
        <w:t>设施</w:t>
      </w:r>
      <w:r>
        <w:rPr>
          <w:rFonts w:hint="eastAsia" w:ascii="仿宋_GB2312" w:hAnsi="仿宋_GB2312" w:eastAsia="仿宋_GB2312" w:cs="仿宋_GB2312"/>
          <w:color w:val="auto"/>
          <w:spacing w:val="0"/>
          <w:sz w:val="32"/>
          <w:szCs w:val="32"/>
          <w:highlight w:val="none"/>
          <w:lang w:eastAsia="zh-CN"/>
        </w:rPr>
        <w:t>进行全面</w:t>
      </w:r>
      <w:r>
        <w:rPr>
          <w:rFonts w:hint="eastAsia" w:ascii="仿宋_GB2312" w:hAnsi="仿宋_GB2312" w:eastAsia="仿宋_GB2312" w:cs="仿宋_GB2312"/>
          <w:color w:val="auto"/>
          <w:spacing w:val="0"/>
          <w:sz w:val="32"/>
          <w:szCs w:val="32"/>
          <w:highlight w:val="none"/>
          <w:lang w:val="en-US" w:eastAsia="zh-CN"/>
        </w:rPr>
        <w:t>管理</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镇人民政府、街道办事处与各村水管员签订委托管理协议，水管员由供水公司、镇街双重管理。</w:t>
      </w:r>
      <w:r>
        <w:rPr>
          <w:rFonts w:hint="eastAsia" w:ascii="仿宋_GB2312" w:hAnsi="仿宋_GB2312" w:eastAsia="仿宋_GB2312" w:cs="仿宋_GB2312"/>
          <w:color w:val="auto"/>
          <w:spacing w:val="0"/>
          <w:kern w:val="2"/>
          <w:sz w:val="32"/>
          <w:szCs w:val="32"/>
          <w:highlight w:val="none"/>
          <w:lang w:eastAsia="zh-CN"/>
        </w:rPr>
        <w:t>组建</w:t>
      </w:r>
      <w:r>
        <w:rPr>
          <w:rFonts w:hint="eastAsia" w:ascii="仿宋_GB2312" w:hAnsi="仿宋_GB2312" w:eastAsia="仿宋_GB2312" w:cs="仿宋_GB2312"/>
          <w:color w:val="auto"/>
          <w:spacing w:val="0"/>
          <w:kern w:val="2"/>
          <w:sz w:val="32"/>
          <w:szCs w:val="32"/>
          <w:highlight w:val="none"/>
          <w:lang w:val="en-US" w:eastAsia="zh-CN"/>
        </w:rPr>
        <w:t>专业</w:t>
      </w:r>
      <w:r>
        <w:rPr>
          <w:rFonts w:hint="eastAsia" w:ascii="仿宋_GB2312" w:hAnsi="仿宋_GB2312" w:eastAsia="仿宋_GB2312" w:cs="仿宋_GB2312"/>
          <w:color w:val="auto"/>
          <w:spacing w:val="0"/>
          <w:kern w:val="2"/>
          <w:sz w:val="32"/>
          <w:szCs w:val="32"/>
          <w:highlight w:val="none"/>
          <w:lang w:eastAsia="zh-CN"/>
        </w:rPr>
        <w:t>水管员队伍，负责村内水表查抄、供水设施巡查维护、用水业务宣传、协助用户刷卡通水、供水设施报修</w:t>
      </w:r>
      <w:r>
        <w:rPr>
          <w:rFonts w:hint="eastAsia" w:ascii="仿宋_GB2312" w:hAnsi="仿宋_GB2312" w:eastAsia="仿宋_GB2312" w:cs="仿宋_GB2312"/>
          <w:color w:val="auto"/>
          <w:spacing w:val="0"/>
          <w:kern w:val="2"/>
          <w:sz w:val="32"/>
          <w:szCs w:val="32"/>
          <w:lang w:eastAsia="zh-CN"/>
        </w:rPr>
        <w:t>等工作，实现供水服务到村到户。</w:t>
      </w:r>
      <w:r>
        <w:rPr>
          <w:rFonts w:hint="eastAsia" w:ascii="仿宋_GB2312" w:hAnsi="仿宋_GB2312" w:eastAsia="仿宋_GB2312" w:cs="仿宋_GB2312"/>
          <w:snapToGrid w:val="0"/>
          <w:color w:val="000000"/>
          <w:sz w:val="32"/>
          <w:szCs w:val="32"/>
          <w:highlight w:val="none"/>
          <w:lang w:val="en-US" w:eastAsia="zh-CN" w:bidi="ar-SA"/>
        </w:rPr>
        <w:t>推行农村供水“一企统管”，确保2025年6月底前完成农村供水县域统管、7月底前实现农村自来水“户户通”，构建规模化工程、标准化服务、全过程监测、智慧化管理体系，实现专业高效运管全覆盖。</w:t>
      </w:r>
    </w:p>
    <w:p>
      <w:pPr>
        <w:pStyle w:val="5"/>
        <w:keepNext w:val="0"/>
        <w:keepLines w:val="0"/>
        <w:pageBreakBefore w:val="0"/>
        <w:wordWrap/>
        <w:overflowPunct w:val="0"/>
        <w:topLinePunct w:val="0"/>
        <w:bidi w:val="0"/>
        <w:spacing w:line="600" w:lineRule="exact"/>
        <w:ind w:right="0" w:firstLine="640" w:firstLineChars="200"/>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二、搭建统管体系</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结合滕州市城乡供水工作实际，推行“1+5+17+N”的县域分级统管模式，即：1家供水企业、5个服务中心、17个服务网点、N个服务网格。</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pacing w:val="0"/>
          <w:sz w:val="32"/>
          <w:szCs w:val="32"/>
          <w:lang w:eastAsia="zh-CN"/>
        </w:rPr>
      </w:pPr>
      <w:r>
        <w:rPr>
          <w:rFonts w:hint="eastAsia" w:ascii="楷体_GB2312" w:hAnsi="楷体_GB2312" w:eastAsia="楷体_GB2312" w:cs="楷体_GB2312"/>
          <w:spacing w:val="0"/>
          <w:sz w:val="32"/>
          <w:szCs w:val="32"/>
          <w:highlight w:val="none"/>
          <w:lang w:val="en-US" w:eastAsia="zh-CN"/>
        </w:rPr>
        <w:t>1家供水企业统管。</w:t>
      </w:r>
      <w:r>
        <w:rPr>
          <w:rFonts w:hint="eastAsia" w:ascii="仿宋_GB2312" w:hAnsi="仿宋_GB2312" w:eastAsia="仿宋_GB2312" w:cs="仿宋_GB2312"/>
          <w:spacing w:val="0"/>
          <w:sz w:val="32"/>
          <w:szCs w:val="32"/>
          <w:highlight w:val="none"/>
          <w:lang w:val="en-US" w:eastAsia="zh-CN"/>
        </w:rPr>
        <w:t>由专业化供水企业管理，</w:t>
      </w:r>
      <w:r>
        <w:rPr>
          <w:rFonts w:hint="eastAsia" w:ascii="Times New Roman" w:hAnsi="Times New Roman" w:eastAsia="仿宋_GB2312" w:cs="Times New Roman"/>
          <w:spacing w:val="0"/>
          <w:sz w:val="32"/>
          <w:szCs w:val="32"/>
          <w:highlight w:val="none"/>
          <w:lang w:eastAsia="zh-CN"/>
        </w:rPr>
        <w:t>全面推广</w:t>
      </w:r>
      <w:r>
        <w:rPr>
          <w:rFonts w:hint="eastAsia" w:ascii="Times New Roman" w:hAnsi="Times New Roman" w:eastAsia="仿宋_GB2312" w:cs="Times New Roman"/>
          <w:spacing w:val="0"/>
          <w:sz w:val="32"/>
          <w:szCs w:val="32"/>
          <w:lang w:eastAsia="zh-CN"/>
        </w:rPr>
        <w:t>使用智能水表，打通原水、制水、供水、监测、预警、抢修、报装、缴费全业务流程，从“水源头”到“水龙头”全链条智能化、精细化管理，</w:t>
      </w:r>
      <w:r>
        <w:rPr>
          <w:rFonts w:ascii="Times New Roman" w:hAnsi="Times New Roman" w:eastAsia="仿宋_GB2312" w:cs="Times New Roman"/>
          <w:spacing w:val="0"/>
          <w:sz w:val="32"/>
          <w:szCs w:val="32"/>
          <w:lang w:eastAsia="zh-CN"/>
        </w:rPr>
        <w:t>2025</w:t>
      </w:r>
      <w:r>
        <w:rPr>
          <w:rFonts w:hint="eastAsia" w:ascii="Times New Roman" w:hAnsi="Times New Roman" w:eastAsia="仿宋_GB2312" w:cs="Times New Roman"/>
          <w:spacing w:val="0"/>
          <w:sz w:val="32"/>
          <w:szCs w:val="32"/>
          <w:lang w:eastAsia="zh-CN"/>
        </w:rPr>
        <w:t>年年底前实现城乡供水“同源、同网、同质、同服务、同监管”。</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pacing w:val="0"/>
          <w:sz w:val="32"/>
          <w:szCs w:val="32"/>
          <w:lang w:eastAsia="zh-CN"/>
        </w:rPr>
      </w:pPr>
      <w:r>
        <w:rPr>
          <w:rFonts w:hint="eastAsia" w:ascii="楷体_GB2312" w:hAnsi="楷体_GB2312" w:eastAsia="楷体_GB2312" w:cs="楷体_GB2312"/>
          <w:spacing w:val="0"/>
          <w:sz w:val="32"/>
          <w:szCs w:val="32"/>
          <w:lang w:val="en-US" w:eastAsia="zh-CN"/>
        </w:rPr>
        <w:t>5个服务中心。</w:t>
      </w:r>
      <w:r>
        <w:rPr>
          <w:rFonts w:hint="eastAsia" w:ascii="Times New Roman" w:hAnsi="Times New Roman" w:eastAsia="仿宋_GB2312" w:cs="Times New Roman"/>
          <w:spacing w:val="0"/>
          <w:sz w:val="32"/>
          <w:szCs w:val="32"/>
          <w:lang w:eastAsia="zh-CN"/>
        </w:rPr>
        <w:t>根据我市供水实际，设立东郭、级索、羊庄、东沙河、城区5个农村供水服务中心。统筹协调各镇街范围内的供水设施巡检维护、绩效考核、客户服务等工作。东郭供水服务中心：服务东郭镇、龙阳镇、界河镇；级索供水服务中心：服务大坞镇、级索镇、西岗镇、滨湖镇；羊庄供水服务中心：服务木石镇、羊庄镇、柴胡店镇、张汪镇；东沙河供水服务中心：东沙河街道、南沙河镇、官桥镇、鲍沟镇；城区供水服务中心：服务善南街道、龙泉街道、荆河街道、北辛街道、姜屯镇、洪绪镇。</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pacing w:val="0"/>
          <w:sz w:val="32"/>
          <w:szCs w:val="32"/>
          <w:lang w:eastAsia="zh-CN"/>
        </w:rPr>
      </w:pPr>
      <w:r>
        <w:rPr>
          <w:rFonts w:hint="eastAsia" w:ascii="楷体_GB2312" w:hAnsi="楷体_GB2312" w:eastAsia="楷体_GB2312" w:cs="楷体_GB2312"/>
          <w:spacing w:val="0"/>
          <w:sz w:val="32"/>
          <w:szCs w:val="32"/>
          <w:lang w:val="en-US" w:eastAsia="zh-CN"/>
        </w:rPr>
        <w:t>17个服务网点。</w:t>
      </w:r>
      <w:r>
        <w:rPr>
          <w:rFonts w:hint="eastAsia" w:ascii="Times New Roman" w:hAnsi="Times New Roman" w:eastAsia="仿宋_GB2312" w:cs="Times New Roman"/>
          <w:spacing w:val="0"/>
          <w:sz w:val="32"/>
          <w:szCs w:val="32"/>
          <w:lang w:eastAsia="zh-CN"/>
        </w:rPr>
        <w:t>在东沙河街道及</w:t>
      </w:r>
      <w:r>
        <w:rPr>
          <w:rFonts w:ascii="Times New Roman" w:hAnsi="Times New Roman" w:eastAsia="仿宋_GB2312" w:cs="Times New Roman"/>
          <w:spacing w:val="0"/>
          <w:sz w:val="32"/>
          <w:szCs w:val="32"/>
          <w:lang w:eastAsia="zh-CN"/>
        </w:rPr>
        <w:t>16</w:t>
      </w:r>
      <w:r>
        <w:rPr>
          <w:rFonts w:hint="eastAsia" w:ascii="Times New Roman" w:hAnsi="Times New Roman" w:eastAsia="仿宋_GB2312" w:cs="Times New Roman"/>
          <w:spacing w:val="0"/>
          <w:sz w:val="32"/>
          <w:szCs w:val="32"/>
          <w:lang w:eastAsia="zh-CN"/>
        </w:rPr>
        <w:t>个镇分别设立农村供水服务网点。配合公司等上级有关部门做好对本辖区内供水工程运行管理工作的指导、监督和检查。</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ascii="Times New Roman" w:hAnsi="Times New Roman" w:eastAsia="仿宋_GB2312" w:cs="Times New Roman"/>
          <w:spacing w:val="0"/>
          <w:sz w:val="32"/>
          <w:szCs w:val="32"/>
          <w:lang w:eastAsia="zh-CN"/>
        </w:rPr>
      </w:pPr>
      <w:r>
        <w:rPr>
          <w:rFonts w:hint="eastAsia" w:ascii="楷体_GB2312" w:hAnsi="楷体_GB2312" w:eastAsia="楷体_GB2312" w:cs="楷体_GB2312"/>
          <w:spacing w:val="0"/>
          <w:sz w:val="32"/>
          <w:szCs w:val="32"/>
          <w:lang w:val="en-US" w:eastAsia="zh-CN"/>
        </w:rPr>
        <w:t>N个服务网格。</w:t>
      </w:r>
      <w:r>
        <w:rPr>
          <w:rFonts w:hint="eastAsia" w:ascii="Times New Roman" w:hAnsi="Times New Roman" w:eastAsia="仿宋_GB2312" w:cs="Times New Roman"/>
          <w:spacing w:val="0"/>
          <w:sz w:val="32"/>
          <w:szCs w:val="32"/>
          <w:lang w:eastAsia="zh-CN"/>
        </w:rPr>
        <w:t>以</w:t>
      </w:r>
      <w:r>
        <w:rPr>
          <w:rFonts w:hint="eastAsia" w:ascii="Times New Roman" w:hAnsi="Times New Roman" w:eastAsia="仿宋_GB2312" w:cs="Times New Roman"/>
          <w:spacing w:val="0"/>
          <w:sz w:val="32"/>
          <w:szCs w:val="32"/>
          <w:lang w:val="en-US" w:eastAsia="zh-CN"/>
        </w:rPr>
        <w:t>自然村（供水单元）</w:t>
      </w:r>
      <w:r>
        <w:rPr>
          <w:rFonts w:hint="eastAsia" w:ascii="Times New Roman" w:hAnsi="Times New Roman" w:eastAsia="仿宋_GB2312" w:cs="Times New Roman"/>
          <w:spacing w:val="0"/>
          <w:sz w:val="32"/>
          <w:szCs w:val="32"/>
          <w:lang w:eastAsia="zh-CN"/>
        </w:rPr>
        <w:t>为单位划分服务网格、设置水管员，实现管护队伍技术专业化、运维标准化、管理效能化、服务优质化。</w:t>
      </w:r>
    </w:p>
    <w:p>
      <w:pPr>
        <w:pStyle w:val="5"/>
        <w:keepNext w:val="0"/>
        <w:keepLines w:val="0"/>
        <w:pageBreakBefore w:val="0"/>
        <w:wordWrap/>
        <w:overflowPunct w:val="0"/>
        <w:topLinePunct w:val="0"/>
        <w:bidi w:val="0"/>
        <w:spacing w:line="600" w:lineRule="exact"/>
        <w:ind w:right="0" w:firstLine="640" w:firstLineChars="200"/>
        <w:rPr>
          <w:rFonts w:hint="eastAsia" w:ascii="黑体" w:hAnsi="黑体" w:eastAsia="黑体" w:cs="黑体"/>
          <w:snapToGrid w:val="0"/>
          <w:color w:val="000000"/>
          <w:spacing w:val="0"/>
          <w:kern w:val="0"/>
          <w:sz w:val="32"/>
          <w:szCs w:val="32"/>
          <w:lang w:val="en-US" w:eastAsia="zh-CN" w:bidi="ar-SA"/>
        </w:rPr>
      </w:pPr>
      <w:r>
        <w:rPr>
          <w:rFonts w:hint="eastAsia" w:ascii="黑体" w:hAnsi="黑体" w:eastAsia="黑体" w:cs="黑体"/>
          <w:snapToGrid w:val="0"/>
          <w:color w:val="000000"/>
          <w:spacing w:val="0"/>
          <w:kern w:val="0"/>
          <w:sz w:val="32"/>
          <w:szCs w:val="32"/>
          <w:lang w:val="en-US" w:eastAsia="zh-CN" w:bidi="ar-SA"/>
        </w:rPr>
        <w:t>三、规范日常管理</w:t>
      </w:r>
    </w:p>
    <w:p>
      <w:pPr>
        <w:keepNext w:val="0"/>
        <w:keepLines w:val="0"/>
        <w:pageBreakBefore w:val="0"/>
        <w:widowControl w:val="0"/>
        <w:kinsoku/>
        <w:wordWrap/>
        <w:overflowPunct w:val="0"/>
        <w:topLinePunct w:val="0"/>
        <w:autoSpaceDE/>
        <w:autoSpaceDN/>
        <w:bidi w:val="0"/>
        <w:adjustRightInd/>
        <w:snapToGrid/>
        <w:spacing w:line="600" w:lineRule="exact"/>
        <w:ind w:right="0" w:firstLine="640"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科学制定日常管护计划、巡查计划以及考勤制度，强化日常绩效管理，确保各项工作有序开展。</w:t>
      </w:r>
      <w:r>
        <w:rPr>
          <w:rFonts w:hint="eastAsia" w:ascii="仿宋_GB2312" w:hAnsi="仿宋_GB2312" w:eastAsia="仿宋_GB2312" w:cs="仿宋_GB2312"/>
          <w:spacing w:val="0"/>
          <w:sz w:val="32"/>
          <w:szCs w:val="32"/>
          <w:lang w:val="en-US" w:eastAsia="zh-CN"/>
        </w:rPr>
        <w:t>建立退出机制，实行农村饮水安全管水员动态管理机制，对不符合要求的管水员及时进行调整。从设施维护情况、报修及时情况、抄表准确性、用户服务质量、用户投诉情况等方面，对农村饮水安全工程水管员进行全面管理。供水企业依规落实各项管理要求</w:t>
      </w:r>
      <w:r>
        <w:rPr>
          <w:rFonts w:hint="eastAsia" w:ascii="仿宋_GB2312" w:hAnsi="仿宋_GB2312" w:eastAsia="仿宋_GB2312" w:cs="仿宋_GB2312"/>
          <w:spacing w:val="11"/>
          <w:sz w:val="32"/>
          <w:szCs w:val="32"/>
          <w:lang w:val="en-US" w:eastAsia="zh-CN"/>
        </w:rPr>
        <w:t>，给予镇街相应奖补资金，切实提升农村供水日常管理水平。</w:t>
      </w:r>
    </w:p>
    <w:p>
      <w:pPr>
        <w:keepNext w:val="0"/>
        <w:keepLines w:val="0"/>
        <w:pageBreakBefore w:val="0"/>
        <w:widowControl w:val="0"/>
        <w:kinsoku/>
        <w:wordWrap/>
        <w:overflowPunct w:val="0"/>
        <w:topLinePunct w:val="0"/>
        <w:bidi w:val="0"/>
        <w:spacing w:line="600" w:lineRule="exact"/>
        <w:ind w:right="0" w:firstLine="640" w:firstLineChars="200"/>
        <w:jc w:val="both"/>
        <w:outlineLvl w:val="2"/>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四、强化</w:t>
      </w:r>
      <w:r>
        <w:rPr>
          <w:rFonts w:hint="eastAsia" w:ascii="Times New Roman" w:hAnsi="Times New Roman" w:eastAsia="黑体" w:cs="Times New Roman"/>
          <w:spacing w:val="0"/>
          <w:sz w:val="32"/>
          <w:szCs w:val="32"/>
          <w:lang w:eastAsia="zh-CN"/>
        </w:rPr>
        <w:t>措施</w:t>
      </w:r>
      <w:r>
        <w:rPr>
          <w:rFonts w:hint="eastAsia" w:ascii="Times New Roman" w:hAnsi="Times New Roman" w:eastAsia="黑体" w:cs="Times New Roman"/>
          <w:spacing w:val="0"/>
          <w:sz w:val="32"/>
          <w:szCs w:val="32"/>
          <w:lang w:val="en-US" w:eastAsia="zh-CN"/>
        </w:rPr>
        <w:t>保障</w:t>
      </w:r>
    </w:p>
    <w:p>
      <w:pPr>
        <w:keepNext w:val="0"/>
        <w:keepLines w:val="0"/>
        <w:pageBreakBefore w:val="0"/>
        <w:widowControl w:val="0"/>
        <w:kinsoku/>
        <w:wordWrap/>
        <w:overflowPunct w:val="0"/>
        <w:topLinePunct w:val="0"/>
        <w:bidi w:val="0"/>
        <w:spacing w:line="600" w:lineRule="exact"/>
        <w:ind w:right="0" w:firstLine="640" w:firstLineChars="200"/>
        <w:jc w:val="both"/>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严格落实农村供水保障地方行政首长负责制，压实镇街主体责任，完善农村供水管理“三项制度”。建立健全县域统管及专业化管护财政扶持长效机制，科学测算管护经费，</w:t>
      </w:r>
      <w:r>
        <w:rPr>
          <w:rFonts w:hint="eastAsia" w:ascii="Times New Roman" w:hAnsi="Times New Roman" w:eastAsia="仿宋_GB2312" w:cs="Times New Roman"/>
          <w:spacing w:val="0"/>
          <w:sz w:val="32"/>
          <w:szCs w:val="32"/>
          <w:lang w:val="en-US" w:eastAsia="zh-CN"/>
        </w:rPr>
        <w:t>完善</w:t>
      </w:r>
      <w:r>
        <w:rPr>
          <w:rFonts w:hint="eastAsia" w:ascii="Times New Roman" w:hAnsi="Times New Roman" w:eastAsia="仿宋_GB2312" w:cs="Times New Roman"/>
          <w:spacing w:val="0"/>
          <w:sz w:val="32"/>
          <w:szCs w:val="32"/>
          <w:lang w:eastAsia="zh-CN"/>
        </w:rPr>
        <w:t>水价形成、调整和</w:t>
      </w:r>
      <w:r>
        <w:rPr>
          <w:rFonts w:hint="eastAsia" w:ascii="Times New Roman" w:hAnsi="Times New Roman" w:eastAsia="仿宋_GB2312" w:cs="Times New Roman"/>
          <w:spacing w:val="0"/>
          <w:sz w:val="32"/>
          <w:szCs w:val="32"/>
          <w:highlight w:val="none"/>
          <w:lang w:eastAsia="zh-CN"/>
        </w:rPr>
        <w:t>补贴机制，探索“以水养水”模式，引导社会力量参与运营管理。</w:t>
      </w:r>
      <w:r>
        <w:rPr>
          <w:rFonts w:hint="eastAsia" w:ascii="Times New Roman" w:hAnsi="Times New Roman" w:eastAsia="仿宋_GB2312" w:cs="Times New Roman"/>
          <w:spacing w:val="0"/>
          <w:sz w:val="32"/>
          <w:szCs w:val="32"/>
          <w:highlight w:val="none"/>
          <w:lang w:val="en-US" w:eastAsia="zh-CN"/>
        </w:rPr>
        <w:t>实施动态评估管理</w:t>
      </w:r>
      <w:r>
        <w:rPr>
          <w:rFonts w:hint="eastAsia" w:ascii="Times New Roman" w:hAnsi="Times New Roman" w:eastAsia="仿宋_GB2312" w:cs="Times New Roman"/>
          <w:spacing w:val="0"/>
          <w:sz w:val="32"/>
          <w:szCs w:val="32"/>
          <w:highlight w:val="none"/>
          <w:lang w:eastAsia="zh-CN"/>
        </w:rPr>
        <w:t>，将水量水质、水费收缴等</w:t>
      </w:r>
      <w:r>
        <w:rPr>
          <w:rFonts w:hint="eastAsia" w:ascii="Times New Roman" w:hAnsi="Times New Roman" w:eastAsia="仿宋_GB2312" w:cs="Times New Roman"/>
          <w:spacing w:val="0"/>
          <w:sz w:val="32"/>
          <w:szCs w:val="32"/>
          <w:highlight w:val="none"/>
          <w:lang w:val="en-US" w:eastAsia="zh-CN"/>
        </w:rPr>
        <w:t>工作成效</w:t>
      </w:r>
      <w:r>
        <w:rPr>
          <w:rFonts w:hint="eastAsia" w:ascii="Times New Roman" w:hAnsi="Times New Roman" w:eastAsia="仿宋_GB2312" w:cs="Times New Roman"/>
          <w:spacing w:val="0"/>
          <w:sz w:val="32"/>
          <w:szCs w:val="32"/>
          <w:highlight w:val="none"/>
          <w:lang w:eastAsia="zh-CN"/>
        </w:rPr>
        <w:t>与维养资金挂钩。同时，</w:t>
      </w:r>
      <w:r>
        <w:rPr>
          <w:rFonts w:hint="eastAsia" w:ascii="Times New Roman" w:hAnsi="Times New Roman" w:eastAsia="仿宋_GB2312" w:cs="Times New Roman"/>
          <w:spacing w:val="0"/>
          <w:sz w:val="32"/>
          <w:szCs w:val="32"/>
          <w:highlight w:val="none"/>
          <w:lang w:val="en-US" w:eastAsia="zh-CN"/>
        </w:rPr>
        <w:t>及时</w:t>
      </w:r>
      <w:r>
        <w:rPr>
          <w:rFonts w:hint="eastAsia" w:ascii="Times New Roman" w:hAnsi="Times New Roman" w:eastAsia="仿宋_GB2312" w:cs="Times New Roman"/>
          <w:spacing w:val="0"/>
          <w:sz w:val="32"/>
          <w:szCs w:val="32"/>
          <w:highlight w:val="none"/>
          <w:lang w:eastAsia="zh-CN"/>
        </w:rPr>
        <w:t>总结</w:t>
      </w:r>
      <w:r>
        <w:rPr>
          <w:rFonts w:hint="eastAsia" w:ascii="Times New Roman" w:hAnsi="Times New Roman" w:eastAsia="仿宋_GB2312" w:cs="Times New Roman"/>
          <w:spacing w:val="0"/>
          <w:sz w:val="32"/>
          <w:szCs w:val="32"/>
          <w:lang w:eastAsia="zh-CN"/>
        </w:rPr>
        <w:t>推广先进经验和可复制模式，加强交流互鉴，营造良好氛围，推动农村供水县域统管及专业化管护全面覆盖。</w:t>
      </w:r>
    </w:p>
    <w:sectPr>
      <w:footerReference r:id="rId3" w:type="default"/>
      <w:pgSz w:w="11906" w:h="16839"/>
      <w:pgMar w:top="1701" w:right="1701" w:bottom="1701" w:left="1701" w:header="850" w:footer="1304"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MzQ1NDI4MDUyMWZmZDk5YjU1M2FmODlmNmJmODQifQ=="/>
  </w:docVars>
  <w:rsids>
    <w:rsidRoot w:val="00C558D9"/>
    <w:rsid w:val="0000029A"/>
    <w:rsid w:val="00002C53"/>
    <w:rsid w:val="000271F5"/>
    <w:rsid w:val="00033DA1"/>
    <w:rsid w:val="00034C4E"/>
    <w:rsid w:val="000358C3"/>
    <w:rsid w:val="00057AAB"/>
    <w:rsid w:val="00071F23"/>
    <w:rsid w:val="00083CBC"/>
    <w:rsid w:val="0008477C"/>
    <w:rsid w:val="000A1B34"/>
    <w:rsid w:val="000A519C"/>
    <w:rsid w:val="000C46A6"/>
    <w:rsid w:val="000D1AD5"/>
    <w:rsid w:val="000D60FE"/>
    <w:rsid w:val="000E560D"/>
    <w:rsid w:val="000E7440"/>
    <w:rsid w:val="000F423F"/>
    <w:rsid w:val="001013D2"/>
    <w:rsid w:val="001043E2"/>
    <w:rsid w:val="001156CF"/>
    <w:rsid w:val="0012026F"/>
    <w:rsid w:val="001245B3"/>
    <w:rsid w:val="00134653"/>
    <w:rsid w:val="00137C15"/>
    <w:rsid w:val="001403EB"/>
    <w:rsid w:val="001535C7"/>
    <w:rsid w:val="001672A2"/>
    <w:rsid w:val="001707AB"/>
    <w:rsid w:val="00180A3F"/>
    <w:rsid w:val="001C0DDE"/>
    <w:rsid w:val="001C537F"/>
    <w:rsid w:val="001F41D3"/>
    <w:rsid w:val="00204E94"/>
    <w:rsid w:val="00206583"/>
    <w:rsid w:val="002131C5"/>
    <w:rsid w:val="00215DD7"/>
    <w:rsid w:val="00216115"/>
    <w:rsid w:val="00220469"/>
    <w:rsid w:val="00254661"/>
    <w:rsid w:val="00260FB2"/>
    <w:rsid w:val="00267185"/>
    <w:rsid w:val="002721A4"/>
    <w:rsid w:val="00280C89"/>
    <w:rsid w:val="002855E6"/>
    <w:rsid w:val="002926C0"/>
    <w:rsid w:val="0029597F"/>
    <w:rsid w:val="002A086C"/>
    <w:rsid w:val="002B0158"/>
    <w:rsid w:val="002C76DF"/>
    <w:rsid w:val="002D3BCD"/>
    <w:rsid w:val="002D5B64"/>
    <w:rsid w:val="002E348E"/>
    <w:rsid w:val="002E5916"/>
    <w:rsid w:val="002E73B0"/>
    <w:rsid w:val="002F008F"/>
    <w:rsid w:val="002F1F85"/>
    <w:rsid w:val="002F23FF"/>
    <w:rsid w:val="00304DDE"/>
    <w:rsid w:val="00326379"/>
    <w:rsid w:val="003300B2"/>
    <w:rsid w:val="003333BA"/>
    <w:rsid w:val="00344B86"/>
    <w:rsid w:val="003714F5"/>
    <w:rsid w:val="0038178A"/>
    <w:rsid w:val="00386161"/>
    <w:rsid w:val="003A0EA6"/>
    <w:rsid w:val="003B2AFF"/>
    <w:rsid w:val="003B35E3"/>
    <w:rsid w:val="003B521D"/>
    <w:rsid w:val="003B5780"/>
    <w:rsid w:val="003E5998"/>
    <w:rsid w:val="003F5F54"/>
    <w:rsid w:val="003F6DFB"/>
    <w:rsid w:val="004206B7"/>
    <w:rsid w:val="004239C5"/>
    <w:rsid w:val="0043612A"/>
    <w:rsid w:val="00445A96"/>
    <w:rsid w:val="00455CBB"/>
    <w:rsid w:val="00463B23"/>
    <w:rsid w:val="0046568E"/>
    <w:rsid w:val="004767A5"/>
    <w:rsid w:val="004772AC"/>
    <w:rsid w:val="00477849"/>
    <w:rsid w:val="004C527F"/>
    <w:rsid w:val="004F086C"/>
    <w:rsid w:val="00516A90"/>
    <w:rsid w:val="00530967"/>
    <w:rsid w:val="00541FF8"/>
    <w:rsid w:val="00543838"/>
    <w:rsid w:val="005604F1"/>
    <w:rsid w:val="00563FDF"/>
    <w:rsid w:val="00566176"/>
    <w:rsid w:val="00570A4B"/>
    <w:rsid w:val="0057556D"/>
    <w:rsid w:val="00590151"/>
    <w:rsid w:val="00591E32"/>
    <w:rsid w:val="005A0ED6"/>
    <w:rsid w:val="005C47AC"/>
    <w:rsid w:val="005D2FB6"/>
    <w:rsid w:val="005E5A5D"/>
    <w:rsid w:val="005F2B10"/>
    <w:rsid w:val="005F38AB"/>
    <w:rsid w:val="00606EFB"/>
    <w:rsid w:val="00607974"/>
    <w:rsid w:val="00622055"/>
    <w:rsid w:val="00624604"/>
    <w:rsid w:val="0062796B"/>
    <w:rsid w:val="00631BB3"/>
    <w:rsid w:val="00641CA9"/>
    <w:rsid w:val="00641FE5"/>
    <w:rsid w:val="00650403"/>
    <w:rsid w:val="00654782"/>
    <w:rsid w:val="00667A50"/>
    <w:rsid w:val="006701F5"/>
    <w:rsid w:val="00673FAE"/>
    <w:rsid w:val="00686A3F"/>
    <w:rsid w:val="00687026"/>
    <w:rsid w:val="006A749E"/>
    <w:rsid w:val="006B41A8"/>
    <w:rsid w:val="006B648D"/>
    <w:rsid w:val="006C0854"/>
    <w:rsid w:val="006D27CD"/>
    <w:rsid w:val="006D284B"/>
    <w:rsid w:val="006E22DC"/>
    <w:rsid w:val="006E28B2"/>
    <w:rsid w:val="006F3F72"/>
    <w:rsid w:val="0071326C"/>
    <w:rsid w:val="00725594"/>
    <w:rsid w:val="00731D34"/>
    <w:rsid w:val="00751658"/>
    <w:rsid w:val="00761B84"/>
    <w:rsid w:val="00780EFF"/>
    <w:rsid w:val="007968AD"/>
    <w:rsid w:val="007A24EA"/>
    <w:rsid w:val="007B320A"/>
    <w:rsid w:val="007C270E"/>
    <w:rsid w:val="007C2713"/>
    <w:rsid w:val="007E4C14"/>
    <w:rsid w:val="007E503C"/>
    <w:rsid w:val="007F4337"/>
    <w:rsid w:val="00802D09"/>
    <w:rsid w:val="0082187F"/>
    <w:rsid w:val="00827BA8"/>
    <w:rsid w:val="0083405D"/>
    <w:rsid w:val="0083477A"/>
    <w:rsid w:val="00836735"/>
    <w:rsid w:val="008619F0"/>
    <w:rsid w:val="00867FC0"/>
    <w:rsid w:val="008759AC"/>
    <w:rsid w:val="00882412"/>
    <w:rsid w:val="00885B98"/>
    <w:rsid w:val="00891BEA"/>
    <w:rsid w:val="008A5ADD"/>
    <w:rsid w:val="008B10E7"/>
    <w:rsid w:val="008C545E"/>
    <w:rsid w:val="008E13CC"/>
    <w:rsid w:val="008E2AF4"/>
    <w:rsid w:val="008E3700"/>
    <w:rsid w:val="008F5083"/>
    <w:rsid w:val="00917FB5"/>
    <w:rsid w:val="00937786"/>
    <w:rsid w:val="00943227"/>
    <w:rsid w:val="0095585C"/>
    <w:rsid w:val="00963DFE"/>
    <w:rsid w:val="00971B25"/>
    <w:rsid w:val="0097244B"/>
    <w:rsid w:val="0097452B"/>
    <w:rsid w:val="00977921"/>
    <w:rsid w:val="009953F4"/>
    <w:rsid w:val="009A1344"/>
    <w:rsid w:val="009A13C1"/>
    <w:rsid w:val="009B3617"/>
    <w:rsid w:val="009C247E"/>
    <w:rsid w:val="009C7522"/>
    <w:rsid w:val="009D7F69"/>
    <w:rsid w:val="009E0E89"/>
    <w:rsid w:val="009E2071"/>
    <w:rsid w:val="009F1A98"/>
    <w:rsid w:val="009F2281"/>
    <w:rsid w:val="009F7AB0"/>
    <w:rsid w:val="00A00839"/>
    <w:rsid w:val="00A354BE"/>
    <w:rsid w:val="00A44312"/>
    <w:rsid w:val="00A5027B"/>
    <w:rsid w:val="00A60AA2"/>
    <w:rsid w:val="00A63053"/>
    <w:rsid w:val="00A72779"/>
    <w:rsid w:val="00A7446C"/>
    <w:rsid w:val="00A770B3"/>
    <w:rsid w:val="00A859F9"/>
    <w:rsid w:val="00A97C2C"/>
    <w:rsid w:val="00A97E0B"/>
    <w:rsid w:val="00AA0FCA"/>
    <w:rsid w:val="00AA6304"/>
    <w:rsid w:val="00AB2A2F"/>
    <w:rsid w:val="00AC0D0D"/>
    <w:rsid w:val="00AE4800"/>
    <w:rsid w:val="00AE55CF"/>
    <w:rsid w:val="00AE6199"/>
    <w:rsid w:val="00AF1A4B"/>
    <w:rsid w:val="00AF7CF1"/>
    <w:rsid w:val="00B02EE9"/>
    <w:rsid w:val="00B03C4B"/>
    <w:rsid w:val="00B25B53"/>
    <w:rsid w:val="00B26F8C"/>
    <w:rsid w:val="00B41258"/>
    <w:rsid w:val="00B65345"/>
    <w:rsid w:val="00B711F3"/>
    <w:rsid w:val="00B76460"/>
    <w:rsid w:val="00B82A81"/>
    <w:rsid w:val="00B831CF"/>
    <w:rsid w:val="00B960CB"/>
    <w:rsid w:val="00BA20DD"/>
    <w:rsid w:val="00BA7E2D"/>
    <w:rsid w:val="00BC4044"/>
    <w:rsid w:val="00BD7C9E"/>
    <w:rsid w:val="00BF06C0"/>
    <w:rsid w:val="00C04D1C"/>
    <w:rsid w:val="00C16608"/>
    <w:rsid w:val="00C40DF5"/>
    <w:rsid w:val="00C46858"/>
    <w:rsid w:val="00C556D6"/>
    <w:rsid w:val="00C558D9"/>
    <w:rsid w:val="00C661FB"/>
    <w:rsid w:val="00C6640A"/>
    <w:rsid w:val="00C704A4"/>
    <w:rsid w:val="00C71B41"/>
    <w:rsid w:val="00C8252E"/>
    <w:rsid w:val="00C96975"/>
    <w:rsid w:val="00CA37A2"/>
    <w:rsid w:val="00CB1AF4"/>
    <w:rsid w:val="00CB3E55"/>
    <w:rsid w:val="00CC6454"/>
    <w:rsid w:val="00CD05B1"/>
    <w:rsid w:val="00CE5DF6"/>
    <w:rsid w:val="00CF7C6B"/>
    <w:rsid w:val="00D02BA1"/>
    <w:rsid w:val="00D11BD9"/>
    <w:rsid w:val="00D460D1"/>
    <w:rsid w:val="00D90E43"/>
    <w:rsid w:val="00D9481B"/>
    <w:rsid w:val="00DA531E"/>
    <w:rsid w:val="00DB3037"/>
    <w:rsid w:val="00DB4272"/>
    <w:rsid w:val="00DB45A1"/>
    <w:rsid w:val="00DB56C5"/>
    <w:rsid w:val="00DD0DBD"/>
    <w:rsid w:val="00DE0943"/>
    <w:rsid w:val="00DE09D2"/>
    <w:rsid w:val="00DE1468"/>
    <w:rsid w:val="00DE1491"/>
    <w:rsid w:val="00DE3B6D"/>
    <w:rsid w:val="00E227A9"/>
    <w:rsid w:val="00E371FE"/>
    <w:rsid w:val="00E718B2"/>
    <w:rsid w:val="00E8209E"/>
    <w:rsid w:val="00E87DA2"/>
    <w:rsid w:val="00E90BE1"/>
    <w:rsid w:val="00E93E7A"/>
    <w:rsid w:val="00E95D5B"/>
    <w:rsid w:val="00EB4449"/>
    <w:rsid w:val="00EC1F83"/>
    <w:rsid w:val="00ED76E9"/>
    <w:rsid w:val="00EE4657"/>
    <w:rsid w:val="00EE58F5"/>
    <w:rsid w:val="00F07570"/>
    <w:rsid w:val="00F10984"/>
    <w:rsid w:val="00F12431"/>
    <w:rsid w:val="00F40751"/>
    <w:rsid w:val="00F472F6"/>
    <w:rsid w:val="00F51B06"/>
    <w:rsid w:val="00F84DE3"/>
    <w:rsid w:val="00F85406"/>
    <w:rsid w:val="00FA0CF7"/>
    <w:rsid w:val="00FB5D4C"/>
    <w:rsid w:val="00FB75A1"/>
    <w:rsid w:val="00FF517F"/>
    <w:rsid w:val="015630B9"/>
    <w:rsid w:val="019B3631"/>
    <w:rsid w:val="01D76A81"/>
    <w:rsid w:val="0341020B"/>
    <w:rsid w:val="03626296"/>
    <w:rsid w:val="05147B3B"/>
    <w:rsid w:val="072F3630"/>
    <w:rsid w:val="07AF7340"/>
    <w:rsid w:val="08870C0F"/>
    <w:rsid w:val="09B94F9F"/>
    <w:rsid w:val="0C7261B5"/>
    <w:rsid w:val="0CBF7FC0"/>
    <w:rsid w:val="0EFE3455"/>
    <w:rsid w:val="120E7E53"/>
    <w:rsid w:val="123C49C0"/>
    <w:rsid w:val="12AD0C67"/>
    <w:rsid w:val="1579064C"/>
    <w:rsid w:val="18015F42"/>
    <w:rsid w:val="1AA830EB"/>
    <w:rsid w:val="1B5B5EB7"/>
    <w:rsid w:val="1CFE1F37"/>
    <w:rsid w:val="1E5B31EA"/>
    <w:rsid w:val="1F7C63FB"/>
    <w:rsid w:val="20CE4DFD"/>
    <w:rsid w:val="235B046C"/>
    <w:rsid w:val="24EC37C6"/>
    <w:rsid w:val="2588483A"/>
    <w:rsid w:val="259D3570"/>
    <w:rsid w:val="26802C75"/>
    <w:rsid w:val="27C546B8"/>
    <w:rsid w:val="2C9A3C39"/>
    <w:rsid w:val="2DAA682A"/>
    <w:rsid w:val="2FB79F5F"/>
    <w:rsid w:val="306F3147"/>
    <w:rsid w:val="31F938DC"/>
    <w:rsid w:val="32070FA4"/>
    <w:rsid w:val="34906F58"/>
    <w:rsid w:val="36A0479D"/>
    <w:rsid w:val="381F1BC2"/>
    <w:rsid w:val="382D19C3"/>
    <w:rsid w:val="3872263A"/>
    <w:rsid w:val="3C964B49"/>
    <w:rsid w:val="3CE04200"/>
    <w:rsid w:val="3D864BBD"/>
    <w:rsid w:val="3DA43295"/>
    <w:rsid w:val="3DED6299"/>
    <w:rsid w:val="3F282C5F"/>
    <w:rsid w:val="3FFF8839"/>
    <w:rsid w:val="400B3158"/>
    <w:rsid w:val="400E2C48"/>
    <w:rsid w:val="40420B44"/>
    <w:rsid w:val="40624D42"/>
    <w:rsid w:val="4066074B"/>
    <w:rsid w:val="40F24318"/>
    <w:rsid w:val="42DD4124"/>
    <w:rsid w:val="43FC57BA"/>
    <w:rsid w:val="44F7703E"/>
    <w:rsid w:val="45AF4585"/>
    <w:rsid w:val="45BE2A1A"/>
    <w:rsid w:val="461B7E6D"/>
    <w:rsid w:val="476C3050"/>
    <w:rsid w:val="48783354"/>
    <w:rsid w:val="49543DC1"/>
    <w:rsid w:val="49EA0282"/>
    <w:rsid w:val="4B0836CE"/>
    <w:rsid w:val="4BC342AC"/>
    <w:rsid w:val="4D060528"/>
    <w:rsid w:val="4F6476F0"/>
    <w:rsid w:val="520B4F6E"/>
    <w:rsid w:val="535B4F32"/>
    <w:rsid w:val="53DF17F5"/>
    <w:rsid w:val="54754F2E"/>
    <w:rsid w:val="550D55D1"/>
    <w:rsid w:val="56633896"/>
    <w:rsid w:val="568360E3"/>
    <w:rsid w:val="57144B90"/>
    <w:rsid w:val="58562B85"/>
    <w:rsid w:val="5B9067AF"/>
    <w:rsid w:val="5C1C61F2"/>
    <w:rsid w:val="5D0A0326"/>
    <w:rsid w:val="5E0771FD"/>
    <w:rsid w:val="5EDBBE37"/>
    <w:rsid w:val="5F438917"/>
    <w:rsid w:val="637644DD"/>
    <w:rsid w:val="637FC47E"/>
    <w:rsid w:val="640E2967"/>
    <w:rsid w:val="64D771FD"/>
    <w:rsid w:val="65837FD2"/>
    <w:rsid w:val="66150D4D"/>
    <w:rsid w:val="690442C2"/>
    <w:rsid w:val="6C8728F0"/>
    <w:rsid w:val="6D43322E"/>
    <w:rsid w:val="6D4C7DEA"/>
    <w:rsid w:val="6F683B8E"/>
    <w:rsid w:val="700A6199"/>
    <w:rsid w:val="707A385E"/>
    <w:rsid w:val="70FD2FF3"/>
    <w:rsid w:val="72273572"/>
    <w:rsid w:val="728D7D7F"/>
    <w:rsid w:val="72E5772E"/>
    <w:rsid w:val="733E5017"/>
    <w:rsid w:val="74B0584E"/>
    <w:rsid w:val="74D07EF1"/>
    <w:rsid w:val="75232716"/>
    <w:rsid w:val="75C80BC8"/>
    <w:rsid w:val="7688071F"/>
    <w:rsid w:val="773A1959"/>
    <w:rsid w:val="777A2396"/>
    <w:rsid w:val="779DBA8F"/>
    <w:rsid w:val="78BE1FA4"/>
    <w:rsid w:val="798F5EA1"/>
    <w:rsid w:val="79DFD840"/>
    <w:rsid w:val="79F30766"/>
    <w:rsid w:val="7A3703AC"/>
    <w:rsid w:val="7ADB6915"/>
    <w:rsid w:val="7BB265A2"/>
    <w:rsid w:val="7BDA1655"/>
    <w:rsid w:val="7BEC639D"/>
    <w:rsid w:val="7CAA28C5"/>
    <w:rsid w:val="7D779022"/>
    <w:rsid w:val="7EE10D33"/>
    <w:rsid w:val="7FC3E486"/>
    <w:rsid w:val="7FDF0BFB"/>
    <w:rsid w:val="7FF42A0D"/>
    <w:rsid w:val="8FF112A0"/>
    <w:rsid w:val="A766C88C"/>
    <w:rsid w:val="EED07860"/>
    <w:rsid w:val="EFF36755"/>
    <w:rsid w:val="F6B63854"/>
    <w:rsid w:val="F6E600E6"/>
    <w:rsid w:val="FBCB80CC"/>
    <w:rsid w:val="FEF74E7D"/>
    <w:rsid w:val="FFEB1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27"/>
    <w:unhideWhenUsed/>
    <w:qFormat/>
    <w:uiPriority w:val="0"/>
    <w:pPr>
      <w:widowControl w:val="0"/>
      <w:kinsoku/>
      <w:autoSpaceDE/>
      <w:autoSpaceDN/>
      <w:adjustRightInd/>
      <w:snapToGrid/>
      <w:spacing w:line="560" w:lineRule="exact"/>
      <w:ind w:firstLine="644" w:firstLineChars="200"/>
      <w:jc w:val="both"/>
      <w:textAlignment w:val="auto"/>
      <w:outlineLvl w:val="1"/>
    </w:pPr>
    <w:rPr>
      <w:rFonts w:ascii="Times New Roman" w:hAnsi="Times New Roman" w:eastAsia="仿宋_GB2312" w:cs="Times New Roman"/>
      <w:spacing w:val="2"/>
      <w:sz w:val="32"/>
      <w:szCs w:val="32"/>
      <w:lang w:eastAsia="zh-CN"/>
    </w:rPr>
  </w:style>
  <w:style w:type="paragraph" w:styleId="4">
    <w:name w:val="heading 3"/>
    <w:basedOn w:val="3"/>
    <w:next w:val="1"/>
    <w:link w:val="28"/>
    <w:unhideWhenUsed/>
    <w:qFormat/>
    <w:uiPriority w:val="0"/>
    <w:pPr>
      <w:outlineLvl w:val="2"/>
    </w:pPr>
  </w:style>
  <w:style w:type="paragraph" w:styleId="5">
    <w:name w:val="heading 4"/>
    <w:basedOn w:val="4"/>
    <w:next w:val="1"/>
    <w:link w:val="29"/>
    <w:unhideWhenUsed/>
    <w:qFormat/>
    <w:uiPriority w:val="0"/>
    <w:pPr>
      <w:outlineLvl w:val="3"/>
    </w:p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0"/>
      </w:tabs>
      <w:spacing w:after="100" w:line="600" w:lineRule="exact"/>
      <w:jc w:val="left"/>
    </w:pPr>
    <w:rPr>
      <w:kern w:val="0"/>
      <w:sz w:val="22"/>
    </w:rPr>
  </w:style>
  <w:style w:type="paragraph" w:styleId="6">
    <w:name w:val="toa heading"/>
    <w:basedOn w:val="1"/>
    <w:next w:val="1"/>
    <w:qFormat/>
    <w:uiPriority w:val="0"/>
    <w:pPr>
      <w:spacing w:before="120"/>
    </w:pPr>
    <w:rPr>
      <w:sz w:val="24"/>
    </w:rPr>
  </w:style>
  <w:style w:type="paragraph" w:styleId="7">
    <w:name w:val="annotation text"/>
    <w:basedOn w:val="1"/>
    <w:link w:val="25"/>
    <w:qFormat/>
    <w:uiPriority w:val="0"/>
  </w:style>
  <w:style w:type="paragraph" w:styleId="8">
    <w:name w:val="Body Text"/>
    <w:basedOn w:val="1"/>
    <w:next w:val="1"/>
    <w:semiHidden/>
    <w:qFormat/>
    <w:uiPriority w:val="0"/>
  </w:style>
  <w:style w:type="paragraph" w:styleId="9">
    <w:name w:val="Body Text Indent"/>
    <w:basedOn w:val="1"/>
    <w:qFormat/>
    <w:uiPriority w:val="99"/>
    <w:pPr>
      <w:adjustRightInd w:val="0"/>
      <w:spacing w:after="120"/>
      <w:ind w:left="420" w:leftChars="200"/>
      <w:textAlignment w:val="baseline"/>
    </w:pPr>
    <w:rPr>
      <w:sz w:val="24"/>
      <w:szCs w:val="24"/>
    </w:rPr>
  </w:style>
  <w:style w:type="paragraph" w:styleId="10">
    <w:name w:val="footer"/>
    <w:basedOn w:val="1"/>
    <w:link w:val="24"/>
    <w:qFormat/>
    <w:uiPriority w:val="0"/>
    <w:pPr>
      <w:tabs>
        <w:tab w:val="center" w:pos="4153"/>
        <w:tab w:val="right" w:pos="8306"/>
      </w:tabs>
    </w:pPr>
    <w:rPr>
      <w:sz w:val="18"/>
      <w:szCs w:val="18"/>
    </w:rPr>
  </w:style>
  <w:style w:type="paragraph" w:styleId="11">
    <w:name w:val="header"/>
    <w:basedOn w:val="1"/>
    <w:link w:val="23"/>
    <w:qFormat/>
    <w:uiPriority w:val="0"/>
    <w:pPr>
      <w:pBdr>
        <w:bottom w:val="single" w:color="auto" w:sz="6" w:space="1"/>
      </w:pBdr>
      <w:tabs>
        <w:tab w:val="center" w:pos="4153"/>
        <w:tab w:val="right" w:pos="8306"/>
      </w:tabs>
      <w:jc w:val="center"/>
    </w:pPr>
    <w:rPr>
      <w:sz w:val="18"/>
      <w:szCs w:val="18"/>
    </w:rPr>
  </w:style>
  <w:style w:type="paragraph" w:styleId="12">
    <w:name w:val="Normal (Web)"/>
    <w:basedOn w:val="1"/>
    <w:qFormat/>
    <w:uiPriority w:val="0"/>
    <w:rPr>
      <w:sz w:val="24"/>
    </w:rPr>
  </w:style>
  <w:style w:type="paragraph" w:styleId="13">
    <w:name w:val="annotation subject"/>
    <w:basedOn w:val="7"/>
    <w:next w:val="7"/>
    <w:link w:val="26"/>
    <w:qFormat/>
    <w:uiPriority w:val="0"/>
    <w:rPr>
      <w:b/>
      <w:bCs/>
    </w:rPr>
  </w:style>
  <w:style w:type="paragraph" w:styleId="14">
    <w:name w:val="Body Text First Indent 2"/>
    <w:basedOn w:val="9"/>
    <w:qFormat/>
    <w:uiPriority w:val="99"/>
    <w:pPr>
      <w:adjustRightInd/>
      <w:spacing w:line="360" w:lineRule="auto"/>
      <w:ind w:left="0" w:leftChars="0" w:firstLine="420"/>
      <w:textAlignment w:val="auto"/>
    </w:pPr>
    <w:rPr>
      <w:rFonts w:ascii="Times New Roman" w:hAnsi="Times New Roman" w:cs="Times New Roman"/>
    </w:rPr>
  </w:style>
  <w:style w:type="character" w:styleId="17">
    <w:name w:val="Hyperlink"/>
    <w:basedOn w:val="16"/>
    <w:qFormat/>
    <w:uiPriority w:val="0"/>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19">
    <w:name w:val="正文首行缩进 21"/>
    <w:basedOn w:val="20"/>
    <w:qFormat/>
    <w:uiPriority w:val="0"/>
    <w:pPr>
      <w:ind w:firstLine="420" w:firstLineChars="200"/>
    </w:pPr>
  </w:style>
  <w:style w:type="paragraph" w:customStyle="1" w:styleId="20">
    <w:name w:val="正文文本缩进1"/>
    <w:basedOn w:val="1"/>
    <w:qFormat/>
    <w:uiPriority w:val="0"/>
    <w:pPr>
      <w:spacing w:after="120"/>
      <w:ind w:left="420" w:leftChars="200"/>
    </w:p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_GB2312" w:hAnsi="仿宋_GB2312" w:eastAsia="仿宋_GB2312" w:cs="仿宋_GB2312"/>
      <w:sz w:val="34"/>
      <w:szCs w:val="34"/>
    </w:rPr>
  </w:style>
  <w:style w:type="character" w:customStyle="1" w:styleId="23">
    <w:name w:val="页眉 字符"/>
    <w:basedOn w:val="16"/>
    <w:link w:val="11"/>
    <w:qFormat/>
    <w:uiPriority w:val="0"/>
    <w:rPr>
      <w:rFonts w:eastAsia="Arial"/>
      <w:snapToGrid w:val="0"/>
      <w:color w:val="000000"/>
      <w:sz w:val="18"/>
      <w:szCs w:val="18"/>
      <w:lang w:eastAsia="en-US"/>
    </w:rPr>
  </w:style>
  <w:style w:type="character" w:customStyle="1" w:styleId="24">
    <w:name w:val="页脚 字符"/>
    <w:basedOn w:val="16"/>
    <w:link w:val="10"/>
    <w:qFormat/>
    <w:uiPriority w:val="0"/>
    <w:rPr>
      <w:rFonts w:eastAsia="Arial"/>
      <w:snapToGrid w:val="0"/>
      <w:color w:val="000000"/>
      <w:sz w:val="18"/>
      <w:szCs w:val="18"/>
      <w:lang w:eastAsia="en-US"/>
    </w:rPr>
  </w:style>
  <w:style w:type="character" w:customStyle="1" w:styleId="25">
    <w:name w:val="批注文字 字符"/>
    <w:basedOn w:val="16"/>
    <w:link w:val="7"/>
    <w:qFormat/>
    <w:uiPriority w:val="0"/>
    <w:rPr>
      <w:rFonts w:eastAsia="Arial"/>
      <w:snapToGrid w:val="0"/>
      <w:color w:val="000000"/>
      <w:sz w:val="21"/>
      <w:szCs w:val="21"/>
      <w:lang w:eastAsia="en-US"/>
    </w:rPr>
  </w:style>
  <w:style w:type="character" w:customStyle="1" w:styleId="26">
    <w:name w:val="批注主题 字符"/>
    <w:basedOn w:val="25"/>
    <w:link w:val="13"/>
    <w:qFormat/>
    <w:uiPriority w:val="0"/>
    <w:rPr>
      <w:rFonts w:eastAsia="Arial"/>
      <w:b/>
      <w:bCs/>
      <w:snapToGrid w:val="0"/>
      <w:color w:val="000000"/>
      <w:sz w:val="21"/>
      <w:szCs w:val="21"/>
      <w:lang w:eastAsia="en-US"/>
    </w:rPr>
  </w:style>
  <w:style w:type="character" w:customStyle="1" w:styleId="27">
    <w:name w:val="标题 2 字符"/>
    <w:basedOn w:val="16"/>
    <w:link w:val="3"/>
    <w:qFormat/>
    <w:uiPriority w:val="0"/>
    <w:rPr>
      <w:rFonts w:ascii="Times New Roman" w:hAnsi="Times New Roman" w:eastAsia="仿宋_GB2312" w:cs="Times New Roman"/>
      <w:snapToGrid w:val="0"/>
      <w:color w:val="000000"/>
      <w:spacing w:val="2"/>
      <w:sz w:val="32"/>
      <w:szCs w:val="32"/>
    </w:rPr>
  </w:style>
  <w:style w:type="character" w:customStyle="1" w:styleId="28">
    <w:name w:val="标题 3 字符"/>
    <w:basedOn w:val="16"/>
    <w:link w:val="4"/>
    <w:qFormat/>
    <w:uiPriority w:val="0"/>
    <w:rPr>
      <w:rFonts w:ascii="Times New Roman" w:hAnsi="Times New Roman" w:eastAsia="仿宋_GB2312" w:cs="Times New Roman"/>
      <w:snapToGrid w:val="0"/>
      <w:color w:val="000000"/>
      <w:spacing w:val="2"/>
      <w:sz w:val="32"/>
      <w:szCs w:val="32"/>
    </w:rPr>
  </w:style>
  <w:style w:type="character" w:customStyle="1" w:styleId="29">
    <w:name w:val="标题 4 字符"/>
    <w:basedOn w:val="16"/>
    <w:link w:val="5"/>
    <w:qFormat/>
    <w:uiPriority w:val="0"/>
    <w:rPr>
      <w:rFonts w:ascii="Times New Roman" w:hAnsi="Times New Roman" w:eastAsia="仿宋_GB2312" w:cs="Times New Roman"/>
      <w:snapToGrid w:val="0"/>
      <w:color w:val="000000"/>
      <w:spacing w:val="2"/>
      <w:sz w:val="32"/>
      <w:szCs w:val="32"/>
    </w:rPr>
  </w:style>
  <w:style w:type="character" w:customStyle="1" w:styleId="30">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1499</Words>
  <Characters>1521</Characters>
  <Lines>34</Lines>
  <Paragraphs>9</Paragraphs>
  <TotalTime>0</TotalTime>
  <ScaleCrop>false</ScaleCrop>
  <LinksUpToDate>false</LinksUpToDate>
  <CharactersWithSpaces>1587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2025-02-27T16:12:00Z</dcterms:created>
  <dc:creator>微软用户</dc:creator>
  <cp:lastModifiedBy>user</cp:lastModifiedBy>
  <cp:lastPrinted>2025-06-30T09:19:00Z</cp:lastPrinted>
  <dcterms:modified xsi:type="dcterms:W3CDTF">2025-10-09T15:17:44Z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2024-11-25T08:59:32Z</vt:filetime>
  </property>
  <property fmtid="{D5CDD505-2E9C-101B-9397-08002B2CF9AE}" pid="4" name="KSOProductBuildVer">
    <vt:lpwstr>2052-11.8.2.9958</vt:lpwstr>
  </property>
  <property fmtid="{D5CDD505-2E9C-101B-9397-08002B2CF9AE}" pid="5" name="ICV">
    <vt:lpwstr>C3D6A3E4646F43ED95331FD51624D46F_13</vt:lpwstr>
  </property>
  <property fmtid="{D5CDD505-2E9C-101B-9397-08002B2CF9AE}" pid="6" name="KSOTemplateDocerSaveRecord">
    <vt:lpwstr>eyJoZGlkIjoiMDlhOTdlZTM2OTgyNGMzYmMyNzczM2I3YzViNGY0YTYiLCJ1c2VySWQiOiIxNTQ5OTk2NTQ0In0=</vt:lpwstr>
  </property>
</Properties>
</file>